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Times New Roman" w:hAnsi="Times New Roman" w:cs="Times New Roman"/>
          <w:sz w:val="28"/>
          <w:szCs w:val="28"/>
        </w:rPr>
      </w:pPr>
      <w:r>
        <w:rPr>
          <w:noProof/>
          <w:lang w:eastAsia="ru-RU"/>
        </w:rPr>
        <w:drawing>
          <wp:inline distT="0" distB="0" distL="0" distR="0">
            <wp:extent cx="3476625" cy="1685925"/>
            <wp:effectExtent l="0" t="0" r="0" b="0"/>
            <wp:docPr id="1" name="Рисунок 1"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76625" cy="1685925"/>
                    </a:xfrm>
                    <a:prstGeom prst="rect">
                      <a:avLst/>
                    </a:prstGeom>
                    <a:noFill/>
                    <a:ln>
                      <a:noFill/>
                    </a:ln>
                  </pic:spPr>
                </pic:pic>
              </a:graphicData>
            </a:graphic>
          </wp:inline>
        </w:drawing>
      </w:r>
    </w:p>
    <w:p>
      <w:pPr>
        <w:rPr>
          <w:rFonts w:ascii="Times New Roman" w:hAnsi="Times New Roman" w:cs="Times New Roman"/>
          <w:sz w:val="28"/>
          <w:szCs w:val="28"/>
        </w:rPr>
      </w:pPr>
    </w:p>
    <w:p>
      <w:pPr>
        <w:spacing w:line="276" w:lineRule="auto"/>
        <w:jc w:val="right"/>
        <w:rPr>
          <w:rFonts w:ascii="Segoe UI" w:hAnsi="Segoe UI" w:cs="Segoe UI"/>
          <w:b/>
          <w:sz w:val="32"/>
          <w:szCs w:val="32"/>
        </w:rPr>
      </w:pPr>
      <w:r>
        <w:rPr>
          <w:rFonts w:ascii="Segoe UI" w:hAnsi="Segoe UI" w:cs="Segoe UI"/>
          <w:b/>
          <w:sz w:val="32"/>
          <w:szCs w:val="32"/>
        </w:rPr>
        <w:t>ПРЕСС-РЕЛИЗ</w:t>
      </w:r>
    </w:p>
    <w:p>
      <w:pPr>
        <w:spacing w:line="276" w:lineRule="auto"/>
        <w:jc w:val="right"/>
        <w:rPr>
          <w:rFonts w:ascii="Segoe UI" w:hAnsi="Segoe UI" w:cs="Segoe UI"/>
          <w:b/>
          <w:sz w:val="24"/>
          <w:szCs w:val="24"/>
        </w:rPr>
      </w:pPr>
      <w:r>
        <w:rPr>
          <w:rFonts w:ascii="Segoe UI" w:hAnsi="Segoe UI" w:cs="Segoe UI"/>
          <w:b/>
          <w:sz w:val="24"/>
          <w:szCs w:val="24"/>
        </w:rPr>
        <w:t>19 июня 2020</w:t>
      </w:r>
    </w:p>
    <w:p>
      <w:pPr>
        <w:spacing w:after="0" w:line="276" w:lineRule="auto"/>
        <w:jc w:val="center"/>
        <w:rPr>
          <w:rFonts w:ascii="Segoe UI" w:hAnsi="Segoe UI" w:cs="Segoe UI"/>
          <w:b/>
          <w:sz w:val="24"/>
          <w:szCs w:val="24"/>
        </w:rPr>
      </w:pPr>
      <w:r>
        <w:rPr>
          <w:rFonts w:ascii="Segoe UI" w:hAnsi="Segoe UI" w:cs="Segoe UI"/>
          <w:b/>
          <w:sz w:val="24"/>
          <w:szCs w:val="24"/>
        </w:rPr>
        <w:t xml:space="preserve">Самарский Росреестр разъяснил, какие </w:t>
      </w:r>
      <w:proofErr w:type="spellStart"/>
      <w:r>
        <w:rPr>
          <w:rFonts w:ascii="Segoe UI" w:hAnsi="Segoe UI" w:cs="Segoe UI"/>
          <w:b/>
          <w:sz w:val="24"/>
          <w:szCs w:val="24"/>
        </w:rPr>
        <w:t>хозпостройки</w:t>
      </w:r>
      <w:proofErr w:type="spellEnd"/>
      <w:r>
        <w:rPr>
          <w:rFonts w:ascii="Segoe UI" w:hAnsi="Segoe UI" w:cs="Segoe UI"/>
          <w:b/>
          <w:sz w:val="24"/>
          <w:szCs w:val="24"/>
        </w:rPr>
        <w:t xml:space="preserve"> </w:t>
      </w:r>
    </w:p>
    <w:p>
      <w:pPr>
        <w:spacing w:after="0" w:line="276" w:lineRule="auto"/>
        <w:jc w:val="center"/>
        <w:rPr>
          <w:rFonts w:ascii="Segoe UI" w:hAnsi="Segoe UI" w:cs="Segoe UI"/>
          <w:b/>
          <w:color w:val="000000"/>
        </w:rPr>
      </w:pPr>
      <w:r>
        <w:rPr>
          <w:rFonts w:ascii="Segoe UI" w:hAnsi="Segoe UI" w:cs="Segoe UI"/>
          <w:b/>
          <w:sz w:val="24"/>
          <w:szCs w:val="24"/>
        </w:rPr>
        <w:t>можно оформить в собственность</w:t>
      </w:r>
    </w:p>
    <w:p>
      <w:pPr>
        <w:spacing w:after="0" w:line="276" w:lineRule="auto"/>
        <w:jc w:val="both"/>
        <w:rPr>
          <w:rFonts w:ascii="Segoe UI" w:hAnsi="Segoe UI" w:cs="Segoe UI"/>
          <w:sz w:val="24"/>
          <w:szCs w:val="24"/>
        </w:rPr>
      </w:pPr>
      <w:r>
        <w:rPr>
          <w:rFonts w:ascii="Segoe UI" w:hAnsi="Segoe UI" w:cs="Segoe UI"/>
          <w:sz w:val="24"/>
          <w:szCs w:val="24"/>
        </w:rPr>
        <w:tab/>
        <w:t xml:space="preserve">В Управлении Росреестра по Самарской области прошла прямая линия, в ходе которой заместитель начальника отдела правового обеспечения </w:t>
      </w:r>
      <w:r>
        <w:rPr>
          <w:rFonts w:ascii="Segoe UI" w:hAnsi="Segoe UI" w:cs="Segoe UI"/>
          <w:b/>
          <w:sz w:val="24"/>
          <w:szCs w:val="24"/>
        </w:rPr>
        <w:t>Константин Минин</w:t>
      </w:r>
      <w:r>
        <w:rPr>
          <w:rFonts w:ascii="Segoe UI" w:hAnsi="Segoe UI" w:cs="Segoe UI"/>
          <w:sz w:val="24"/>
          <w:szCs w:val="24"/>
        </w:rPr>
        <w:t xml:space="preserve"> отвечал на вопросы жителей Самарской области о регистрации прав на хозяйственные постройки. </w:t>
      </w:r>
    </w:p>
    <w:p>
      <w:pPr>
        <w:spacing w:after="0" w:line="276" w:lineRule="auto"/>
        <w:ind w:firstLine="708"/>
        <w:jc w:val="both"/>
        <w:rPr>
          <w:rFonts w:ascii="Segoe UI" w:hAnsi="Segoe UI" w:cs="Segoe UI"/>
          <w:sz w:val="24"/>
          <w:szCs w:val="24"/>
        </w:rPr>
      </w:pPr>
      <w:r>
        <w:rPr>
          <w:rFonts w:ascii="Segoe UI" w:hAnsi="Segoe UI" w:cs="Segoe UI"/>
          <w:sz w:val="24"/>
          <w:szCs w:val="24"/>
        </w:rPr>
        <w:t>Эксперт разъяснил, что далеко не каждый объект строительства является объектом недвижимости, права на которые подлежат государственной регистрации. Это означает, что не все возведенные строения можно оформить в собственность. Градостроительным законодательством определено понятие некапитальных строений и сооружений как объектов, не имеющих прочной связи с землей, которые можно переместить или демонтировать, а потом собрать без несоразмерного ущерба назначению и без изменения основных характеристик. К таковым, например, относятся беседки, навесы, душевые, туалеты и другие подобные строения.</w:t>
      </w:r>
    </w:p>
    <w:p>
      <w:pPr>
        <w:spacing w:after="0" w:line="276" w:lineRule="auto"/>
        <w:ind w:firstLine="708"/>
        <w:jc w:val="both"/>
        <w:rPr>
          <w:rFonts w:ascii="Segoe UI" w:hAnsi="Segoe UI" w:cs="Segoe UI"/>
          <w:i/>
          <w:sz w:val="24"/>
          <w:szCs w:val="24"/>
        </w:rPr>
      </w:pPr>
      <w:r>
        <w:rPr>
          <w:rFonts w:ascii="Segoe UI" w:hAnsi="Segoe UI" w:cs="Segoe UI"/>
          <w:sz w:val="24"/>
          <w:szCs w:val="24"/>
        </w:rPr>
        <w:t xml:space="preserve">- </w:t>
      </w:r>
      <w:r>
        <w:rPr>
          <w:rFonts w:ascii="Segoe UI" w:hAnsi="Segoe UI" w:cs="Segoe UI"/>
          <w:i/>
          <w:sz w:val="24"/>
          <w:szCs w:val="24"/>
        </w:rPr>
        <w:t xml:space="preserve">Вопрос об отнесении конкретного имущества к недвижимому должен разрешаться на стадии его создания, а также с учетом наличия самостоятельного назначения этого имущества по отношению к земельному участку, на котором оно расположено, и способности выступать в гражданском обороте в качестве отдельного объекта гражданских прав. Возможность регистрации права на хозяйственные постройки напрямую зависит от вида разрешенного использования земельного участка. Если земля предназначена под огородничество, то размещение на ней объектов капитального строительства запрещено законом. Правообладатель огородного земельного участка имеет право создавать на нем исключительно объекты, не являющиеся объектами недвижимости. </w:t>
      </w:r>
      <w:proofErr w:type="gramStart"/>
      <w:r>
        <w:rPr>
          <w:rFonts w:ascii="Segoe UI" w:hAnsi="Segoe UI" w:cs="Segoe UI"/>
          <w:i/>
          <w:sz w:val="24"/>
          <w:szCs w:val="24"/>
        </w:rPr>
        <w:t>А вот собственники садовых земельных участков могут возводить хозяйственные постройки как не являющиеся объектом недвижимости, так и являющиеся таковыми</w:t>
      </w:r>
      <w:proofErr w:type="gramEnd"/>
      <w:r>
        <w:rPr>
          <w:rFonts w:ascii="Segoe UI" w:hAnsi="Segoe UI" w:cs="Segoe UI"/>
          <w:i/>
          <w:sz w:val="24"/>
          <w:szCs w:val="24"/>
        </w:rPr>
        <w:t xml:space="preserve">, - </w:t>
      </w:r>
      <w:r>
        <w:rPr>
          <w:rFonts w:ascii="Segoe UI" w:hAnsi="Segoe UI" w:cs="Segoe UI"/>
          <w:sz w:val="24"/>
          <w:szCs w:val="24"/>
        </w:rPr>
        <w:t>говорит Константин Минин</w:t>
      </w:r>
      <w:r>
        <w:rPr>
          <w:rFonts w:ascii="Segoe UI" w:hAnsi="Segoe UI" w:cs="Segoe UI"/>
          <w:i/>
          <w:sz w:val="24"/>
          <w:szCs w:val="24"/>
        </w:rPr>
        <w:t>.</w:t>
      </w:r>
    </w:p>
    <w:p>
      <w:pPr>
        <w:spacing w:after="0" w:line="276" w:lineRule="auto"/>
        <w:ind w:firstLine="708"/>
        <w:jc w:val="both"/>
        <w:rPr>
          <w:rFonts w:ascii="Segoe UI" w:hAnsi="Segoe UI" w:cs="Segoe UI"/>
          <w:sz w:val="24"/>
          <w:szCs w:val="24"/>
        </w:rPr>
      </w:pPr>
      <w:r>
        <w:rPr>
          <w:rFonts w:ascii="Segoe UI" w:hAnsi="Segoe UI" w:cs="Segoe UI"/>
          <w:sz w:val="24"/>
          <w:szCs w:val="24"/>
        </w:rPr>
        <w:lastRenderedPageBreak/>
        <w:t xml:space="preserve">Следует отметить, что отнесение объекта строительства к объектам недвижимости осуществляется по результатам выполнения кадастровых работ. Поэтому, если принято решение об оформлении недвижимости, прежде всего необходимо пригласить кадастрового инженера, чтобы он подготовил технический план объекта недвижимости. В </w:t>
      </w:r>
      <w:proofErr w:type="spellStart"/>
      <w:r>
        <w:rPr>
          <w:rFonts w:ascii="Segoe UI" w:hAnsi="Segoe UI" w:cs="Segoe UI"/>
          <w:sz w:val="24"/>
          <w:szCs w:val="24"/>
        </w:rPr>
        <w:t>техплане</w:t>
      </w:r>
      <w:proofErr w:type="spellEnd"/>
      <w:r>
        <w:rPr>
          <w:rFonts w:ascii="Segoe UI" w:hAnsi="Segoe UI" w:cs="Segoe UI"/>
          <w:sz w:val="24"/>
          <w:szCs w:val="24"/>
        </w:rPr>
        <w:t xml:space="preserve"> кадастровый инженер указывает характеристики объекта недвижимости, в том числе площадь, материалы стен, год постройки. В свою очередь, кадастровый инженер обязан отказаться от заключения договора подряда на выполнение кадастровых работ в случае, если объект (в отношении которого планируется выполнение таких работ) не является объектом недвижимости, права на который подлежат государственной регистрации.</w:t>
      </w:r>
    </w:p>
    <w:p>
      <w:pPr>
        <w:autoSpaceDE w:val="0"/>
        <w:autoSpaceDN w:val="0"/>
        <w:spacing w:after="0" w:line="276" w:lineRule="auto"/>
        <w:ind w:firstLine="708"/>
        <w:jc w:val="both"/>
        <w:rPr>
          <w:rFonts w:ascii="Segoe UI" w:hAnsi="Segoe UI" w:cs="Segoe UI"/>
          <w:sz w:val="24"/>
          <w:szCs w:val="24"/>
        </w:rPr>
      </w:pPr>
      <w:r>
        <w:rPr>
          <w:rFonts w:ascii="Segoe UI" w:hAnsi="Segoe UI" w:cs="Segoe UI"/>
          <w:sz w:val="24"/>
          <w:szCs w:val="24"/>
        </w:rPr>
        <w:t xml:space="preserve">Регистрация права в большинстве случаев носит заявительный характер, поэтому право на хозяйственную постройку будет зарегистрировано только в том случае, если владелец недвижимости обратится в Управление Росреестра. С заявлением о постановке на кадастровый учет и регистрации права на </w:t>
      </w:r>
      <w:proofErr w:type="spellStart"/>
      <w:r>
        <w:rPr>
          <w:rFonts w:ascii="Segoe UI" w:hAnsi="Segoe UI" w:cs="Segoe UI"/>
          <w:sz w:val="24"/>
          <w:szCs w:val="24"/>
        </w:rPr>
        <w:t>хозпостройку</w:t>
      </w:r>
      <w:proofErr w:type="spellEnd"/>
      <w:r>
        <w:rPr>
          <w:rFonts w:ascii="Segoe UI" w:hAnsi="Segoe UI" w:cs="Segoe UI"/>
          <w:sz w:val="24"/>
          <w:szCs w:val="24"/>
        </w:rPr>
        <w:t xml:space="preserve"> подается минимальный комплект документов: документ, подтверждающий право собственности заявителя на земельный участок (если ранее право собственности на него не было зарегистрировано в установленном порядке) и технический план, подготовленный на основании декларации. </w:t>
      </w:r>
      <w:r>
        <w:rPr>
          <w:rFonts w:ascii="Segoe UI" w:eastAsia="Times New Roman" w:hAnsi="Segoe UI" w:cs="Segoe UI"/>
          <w:sz w:val="24"/>
          <w:szCs w:val="24"/>
          <w:lang w:eastAsia="ru-RU"/>
        </w:rPr>
        <w:t>Государственная пошлина при первичной регистрации права на вновь созданный объект недвижимости на земельном участке для ведения личного подсобного хозяйства (приусадебный участок), садоводства, индивидуального жилищного стр</w:t>
      </w:r>
      <w:r>
        <w:rPr>
          <w:rFonts w:ascii="Segoe UI" w:eastAsia="Times New Roman" w:hAnsi="Segoe UI" w:cs="Segoe UI"/>
          <w:sz w:val="24"/>
          <w:szCs w:val="24"/>
          <w:lang w:eastAsia="ru-RU"/>
        </w:rPr>
        <w:t>оительства составит 350 рублей. С</w:t>
      </w:r>
      <w:r>
        <w:rPr>
          <w:rFonts w:ascii="Segoe UI" w:eastAsia="Times New Roman" w:hAnsi="Segoe UI" w:cs="Segoe UI"/>
          <w:sz w:val="24"/>
          <w:szCs w:val="24"/>
          <w:lang w:eastAsia="ru-RU"/>
        </w:rPr>
        <w:t xml:space="preserve">рок регистрации права </w:t>
      </w:r>
      <w:r>
        <w:rPr>
          <w:rFonts w:ascii="Segoe UI" w:eastAsia="Times New Roman" w:hAnsi="Segoe UI" w:cs="Segoe UI"/>
          <w:sz w:val="24"/>
          <w:szCs w:val="24"/>
          <w:lang w:eastAsia="ru-RU"/>
        </w:rPr>
        <w:t xml:space="preserve">на недвижимость - </w:t>
      </w:r>
      <w:bookmarkStart w:id="0" w:name="_GoBack"/>
      <w:bookmarkEnd w:id="0"/>
      <w:r>
        <w:rPr>
          <w:rFonts w:ascii="Segoe UI" w:eastAsia="Times New Roman" w:hAnsi="Segoe UI" w:cs="Segoe UI"/>
          <w:sz w:val="24"/>
          <w:szCs w:val="24"/>
          <w:lang w:eastAsia="ru-RU"/>
        </w:rPr>
        <w:t>1</w:t>
      </w:r>
      <w:r>
        <w:rPr>
          <w:rFonts w:ascii="Segoe UI" w:eastAsia="Times New Roman" w:hAnsi="Segoe UI" w:cs="Segoe UI"/>
          <w:sz w:val="24"/>
          <w:szCs w:val="24"/>
          <w:lang w:eastAsia="ru-RU"/>
        </w:rPr>
        <w:t>2 рабочих дней.</w:t>
      </w:r>
      <w:r>
        <w:rPr>
          <w:rFonts w:ascii="Segoe UI" w:eastAsia="Times New Roman" w:hAnsi="Segoe UI" w:cs="Segoe UI"/>
          <w:color w:val="000000"/>
          <w:sz w:val="24"/>
          <w:szCs w:val="24"/>
          <w:lang w:eastAsia="ru-RU"/>
        </w:rPr>
        <w:t xml:space="preserve"> </w:t>
      </w:r>
    </w:p>
    <w:p>
      <w:pPr>
        <w:spacing w:after="0" w:line="276" w:lineRule="auto"/>
        <w:ind w:firstLine="708"/>
        <w:jc w:val="both"/>
        <w:rPr>
          <w:rFonts w:ascii="Segoe UI" w:hAnsi="Segoe UI" w:cs="Segoe UI"/>
          <w:sz w:val="24"/>
          <w:szCs w:val="24"/>
        </w:rPr>
      </w:pPr>
      <w:r>
        <w:rPr>
          <w:rFonts w:ascii="Segoe UI" w:hAnsi="Segoe UI" w:cs="Segoe UI"/>
          <w:sz w:val="24"/>
          <w:szCs w:val="24"/>
        </w:rPr>
        <w:t xml:space="preserve">Константин Минин также обратил внимание, что собственник земельного участка имеет право осуществлять застройку своего участка только в соответствии с его целевым назначением и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и нормативов. </w:t>
      </w:r>
    </w:p>
    <w:p>
      <w:pPr>
        <w:pStyle w:val="a3"/>
        <w:shd w:val="clear" w:color="auto" w:fill="FFFFFF"/>
        <w:spacing w:before="0" w:beforeAutospacing="0" w:after="0" w:afterAutospacing="0"/>
        <w:ind w:firstLine="709"/>
        <w:jc w:val="both"/>
        <w:rPr>
          <w:rFonts w:ascii="Segoe UI" w:hAnsi="Segoe UI" w:cs="Segoe UI"/>
          <w:color w:val="000000"/>
        </w:rPr>
      </w:pPr>
    </w:p>
    <w:p>
      <w:pPr>
        <w:suppressAutoHyphens/>
        <w:autoSpaceDE w:val="0"/>
        <w:autoSpaceDN w:val="0"/>
        <w:adjustRightInd w:val="0"/>
        <w:spacing w:before="240" w:after="0" w:line="240" w:lineRule="auto"/>
        <w:jc w:val="both"/>
        <w:rPr>
          <w:rFonts w:ascii="Segoe UI" w:hAnsi="Segoe UI" w:cs="Segoe UI"/>
          <w:b/>
          <w:noProof/>
          <w:lang w:eastAsia="sk-SK"/>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-93345</wp:posOffset>
                </wp:positionH>
                <wp:positionV relativeFrom="paragraph">
                  <wp:posOffset>111125</wp:posOffset>
                </wp:positionV>
                <wp:extent cx="6229350" cy="0"/>
                <wp:effectExtent l="0" t="0" r="19050" b="190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 o:spid="_x0000_s1026" type="#_x0000_t32" style="position:absolute;margin-left:-7.35pt;margin-top:8.75pt;width:49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" strokecolor="#0070c0"/>
            </w:pict>
          </mc:Fallback>
        </mc:AlternateContent>
      </w:r>
      <w:r>
        <w:rPr>
          <w:rFonts w:ascii="Segoe UI" w:hAnsi="Segoe UI" w:cs="Segoe UI"/>
          <w:b/>
          <w:noProof/>
          <w:lang w:eastAsia="sk-SK"/>
        </w:rPr>
        <w:t>Контакты для СМИ:</w:t>
      </w:r>
    </w:p>
    <w:p>
      <w:pPr>
        <w:spacing w:after="0" w:line="240" w:lineRule="auto"/>
        <w:rPr>
          <w:rFonts w:ascii="Segoe UI" w:hAnsi="Segoe UI" w:cs="Segoe UI"/>
        </w:rPr>
      </w:pPr>
      <w:r>
        <w:rPr>
          <w:rFonts w:ascii="Segoe UI" w:hAnsi="Segoe UI" w:cs="Segoe UI"/>
        </w:rPr>
        <w:t>Ольга Никитина, помощник руководителя Управления Росреестра</w:t>
      </w:r>
    </w:p>
    <w:p>
      <w:pPr>
        <w:spacing w:after="0" w:line="240" w:lineRule="auto"/>
      </w:pPr>
      <w:r>
        <w:rPr>
          <w:rFonts w:ascii="Segoe UI" w:hAnsi="Segoe UI" w:cs="Segoe UI"/>
        </w:rPr>
        <w:t xml:space="preserve">(846) 33-22-555, 8 927 690 73 51, </w:t>
      </w:r>
      <w:hyperlink r:id="rId6" w:history="1">
        <w:r>
          <w:rPr>
            <w:rFonts w:ascii="Segoe UI" w:hAnsi="Segoe UI" w:cs="Segoe UI"/>
            <w:color w:val="0000FF"/>
            <w:u w:val="single"/>
            <w:shd w:val="clear" w:color="auto" w:fill="FFFFFF"/>
            <w:lang w:val="en-US"/>
          </w:rPr>
          <w:t>pr</w:t>
        </w:r>
        <w:r>
          <w:rPr>
            <w:rFonts w:ascii="Segoe UI" w:hAnsi="Segoe UI" w:cs="Segoe UI"/>
            <w:color w:val="0000FF"/>
            <w:u w:val="single"/>
            <w:shd w:val="clear" w:color="auto" w:fill="FFFFFF"/>
          </w:rPr>
          <w:t>.</w:t>
        </w:r>
        <w:r>
          <w:rPr>
            <w:rFonts w:ascii="Segoe UI" w:hAnsi="Segoe UI" w:cs="Segoe UI"/>
            <w:color w:val="0000FF"/>
            <w:u w:val="single"/>
            <w:shd w:val="clear" w:color="auto" w:fill="FFFFFF"/>
            <w:lang w:val="en-US"/>
          </w:rPr>
          <w:t>samara</w:t>
        </w:r>
        <w:r>
          <w:rPr>
            <w:rFonts w:ascii="Segoe UI" w:hAnsi="Segoe UI" w:cs="Segoe UI"/>
            <w:color w:val="0000FF"/>
            <w:u w:val="single"/>
            <w:shd w:val="clear" w:color="auto" w:fill="FFFFFF"/>
          </w:rPr>
          <w:t>@</w:t>
        </w:r>
        <w:r>
          <w:rPr>
            <w:rFonts w:ascii="Segoe UI" w:hAnsi="Segoe UI" w:cs="Segoe UI"/>
            <w:color w:val="0000FF"/>
            <w:u w:val="single"/>
            <w:shd w:val="clear" w:color="auto" w:fill="FFFFFF"/>
            <w:lang w:val="en-US"/>
          </w:rPr>
          <w:t>mail</w:t>
        </w:r>
        <w:r>
          <w:rPr>
            <w:rFonts w:ascii="Segoe UI" w:hAnsi="Segoe UI" w:cs="Segoe UI"/>
            <w:color w:val="0000FF"/>
            <w:u w:val="single"/>
            <w:shd w:val="clear" w:color="auto" w:fill="FFFFFF"/>
          </w:rPr>
          <w:t>.</w:t>
        </w:r>
        <w:proofErr w:type="spellStart"/>
        <w:r>
          <w:rPr>
            <w:rFonts w:ascii="Segoe UI" w:hAnsi="Segoe UI" w:cs="Segoe UI"/>
            <w:color w:val="0000FF"/>
            <w:u w:val="single"/>
            <w:shd w:val="clear" w:color="auto" w:fill="FFFFFF"/>
            <w:lang w:val="en-US"/>
          </w:rPr>
          <w:t>ru</w:t>
        </w:r>
        <w:proofErr w:type="spellEnd"/>
      </w:hyperlink>
      <w:r>
        <w:rPr>
          <w:noProof/>
          <w:lang w:eastAsia="ru-RU"/>
        </w:rPr>
        <mc:AlternateContent>
          <mc:Choice Requires="wps">
            <w:drawing>
              <wp:anchor distT="4294967289" distB="4294967289" distL="114300" distR="114300" simplePos="0" relativeHeight="251660288" behindDoc="0" locked="0" layoutInCell="1" allowOverlap="1">
                <wp:simplePos x="0" y="0"/>
                <wp:positionH relativeFrom="column">
                  <wp:posOffset>734695</wp:posOffset>
                </wp:positionH>
                <wp:positionV relativeFrom="paragraph">
                  <wp:posOffset>8547100</wp:posOffset>
                </wp:positionV>
                <wp:extent cx="6000750" cy="0"/>
                <wp:effectExtent l="0" t="0" r="19050"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1587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57.85pt;margin-top:673pt;width:472.5pt;height:0;z-index:25166028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" strokecolor="#0070c0" strokeweight="1.25pt"/>
            </w:pict>
          </mc:Fallback>
        </mc:AlternateContent>
      </w:r>
    </w:p>
    <w:p>
      <w:pPr>
        <w:spacing w:after="0" w:line="240" w:lineRule="auto"/>
      </w:pPr>
    </w:p>
    <w:p>
      <w:pPr>
        <w:spacing w:after="0" w:line="240" w:lineRule="auto"/>
      </w:pPr>
    </w:p>
    <w:p>
      <w:pPr>
        <w:spacing w:after="0" w:line="240" w:lineRule="auto"/>
      </w:pPr>
    </w:p>
    <w:p>
      <w:pPr>
        <w:spacing w:after="0" w:line="240" w:lineRule="auto"/>
        <w:rPr>
          <w:sz w:val="24"/>
          <w:szCs w:val="24"/>
        </w:rPr>
      </w:pPr>
      <w:r>
        <w:rPr>
          <w:sz w:val="24"/>
          <w:szCs w:val="24"/>
        </w:rPr>
        <w:t>Суздальцева О.Г.</w:t>
      </w:r>
    </w:p>
    <w:p>
      <w:pPr>
        <w:spacing w:after="0" w:line="240" w:lineRule="auto"/>
        <w:rPr>
          <w:sz w:val="24"/>
          <w:szCs w:val="24"/>
        </w:rPr>
      </w:pPr>
    </w:p>
    <w:p>
      <w:pPr>
        <w:spacing w:after="0" w:line="240" w:lineRule="auto"/>
        <w:rPr>
          <w:sz w:val="24"/>
          <w:szCs w:val="24"/>
        </w:rPr>
      </w:pPr>
      <w:r>
        <w:rPr>
          <w:sz w:val="24"/>
          <w:szCs w:val="24"/>
        </w:rPr>
        <w:t>Панфилов А.М.</w:t>
      </w:r>
    </w:p>
    <w:p>
      <w:pPr>
        <w:spacing w:after="0" w:line="240" w:lineRule="auto"/>
        <w:rPr>
          <w:sz w:val="24"/>
          <w:szCs w:val="24"/>
        </w:rPr>
      </w:pPr>
    </w:p>
    <w:p>
      <w:pPr>
        <w:spacing w:after="0" w:line="240" w:lineRule="auto"/>
        <w:rPr>
          <w:sz w:val="24"/>
          <w:szCs w:val="24"/>
        </w:rPr>
      </w:pPr>
      <w:r>
        <w:rPr>
          <w:sz w:val="24"/>
          <w:szCs w:val="24"/>
        </w:rPr>
        <w:t>Минин К.С.</w:t>
      </w:r>
    </w:p>
    <w:p>
      <w:pPr>
        <w:ind w:firstLine="708"/>
        <w:jc w:val="both"/>
        <w:rPr>
          <w:rFonts w:ascii="Segoe UI" w:hAnsi="Segoe UI" w:cs="Segoe UI"/>
          <w:sz w:val="24"/>
          <w:szCs w:val="24"/>
        </w:rPr>
      </w:pPr>
    </w:p>
    <w:sectPr>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01E59-6C59-4D40-9E46-72335542E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61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r.samara@mail.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A4274-89C9-4B58-87F1-972861CA2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602</Words>
  <Characters>3434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Ольга Александровна</dc:creator>
  <cp:keywords/>
  <dc:description/>
  <cp:lastModifiedBy>Никитина Ольга Александровна</cp:lastModifiedBy>
  <cp:revision>28</cp:revision>
  <cp:lastPrinted>2020-06-19T09:18:00Z</cp:lastPrinted>
  <dcterms:created xsi:type="dcterms:W3CDTF">2020-06-19T08:24:00Z</dcterms:created>
  <dcterms:modified xsi:type="dcterms:W3CDTF">2020-06-19T09:28:00Z</dcterms:modified>
</cp:coreProperties>
</file>