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8D" w:rsidRPr="001252F3" w:rsidRDefault="0074578D" w:rsidP="006C0087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</w:pPr>
      <w:proofErr w:type="gramStart"/>
      <w:r w:rsidRPr="001252F3"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  <w:t>Межрайонная</w:t>
      </w:r>
      <w:proofErr w:type="gramEnd"/>
      <w:r w:rsidRPr="001252F3"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  <w:t xml:space="preserve"> ИФНС России №14 по Самарской области информирует</w:t>
      </w:r>
    </w:p>
    <w:p w:rsidR="007E0871" w:rsidRPr="001252F3" w:rsidRDefault="0074578D" w:rsidP="006C0087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</w:pPr>
      <w:r w:rsidRPr="001252F3"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  <w:t>«</w:t>
      </w:r>
      <w:r w:rsidR="007E0871" w:rsidRPr="001252F3"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  <w:t>Представить отчет по зарубежным счетам и иностранным электронным кошелькам физлицам необходимо до 3 июня</w:t>
      </w:r>
      <w:r w:rsidRPr="001252F3">
        <w:rPr>
          <w:rFonts w:ascii="Segoe UI" w:eastAsia="Times New Roman" w:hAnsi="Segoe UI" w:cs="Segoe UI"/>
          <w:color w:val="000000"/>
          <w:kern w:val="36"/>
          <w:sz w:val="40"/>
          <w:szCs w:val="40"/>
          <w:lang w:eastAsia="ru-RU"/>
        </w:rPr>
        <w:t>»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 июня для физических лиц – резидентов истекает срок представления налоговым органам отчетов за 2023 год о движении денежных средств и других финансовых активов по зарубежным счетам, а также по иностранным электронным кошелькам.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Резиденты обязаны представлять отчет</w:t>
      </w:r>
      <w:bookmarkStart w:id="0" w:name="_GoBack"/>
      <w:bookmarkEnd w:id="0"/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ы ежегодно до 1 июня года, следующего за отчетным годом. Поскольку 1 и 2 июня в этом году выходные дни, то предельный срок представления отчетов переносится на ближайший рабочий день – 3 июня.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Отчеты представляются по правилам и форме, утверждённым постановлением Правительства РФ от 12.12.2015 №1365.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Форма отчета размещена также на сайте ФНС России в разделе «Валютный контроль».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Отчет может быть представлен в электронной форме через личный кабинет налогоплательщика, в электронной форме по телекоммуникационным каналам связи через оператора электронного документооборота, а также на бумаге лично, через представителя, на имя которого оформлена соответствующая доверенность, либо заказным почтовым отправлением с уведомлением о вручении.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Лицам, которые в 2023 году проживали за рубежом в совокупности более 183 дней, представлять отчеты за 2023 год не требуется.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Также не требуется представлять отчеты по зарубежным счетам, открытым на территории ЕАЭС или в странах, участвующих в автоматическом обмене финансовой информацией, и когда зачисление или списание по счету или остаток денежных средств по состоянию на конец отчетного года не превышают 600 тыс. рублей соответственно (эквивалентную сумму в иностранной валюте).</w:t>
      </w:r>
    </w:p>
    <w:p w:rsidR="007E0871" w:rsidRPr="007E0871" w:rsidRDefault="007E0871" w:rsidP="006C00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D1AFF" w:rsidRDefault="007E0871" w:rsidP="0074578D">
      <w:pPr>
        <w:shd w:val="clear" w:color="auto" w:fill="FFFFFF"/>
        <w:spacing w:after="0" w:line="240" w:lineRule="auto"/>
        <w:jc w:val="both"/>
      </w:pPr>
      <w:r w:rsidRPr="007E08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Отчеты по иностранным электронным кошелькам не представляются, если общая сумма зачисленных на них средств за отчетный год не превышает сумму, эквивалентную 600 тыс. рублей.</w:t>
      </w:r>
    </w:p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49"/>
    <w:rsid w:val="001252F3"/>
    <w:rsid w:val="002D1AFF"/>
    <w:rsid w:val="00315849"/>
    <w:rsid w:val="006C0087"/>
    <w:rsid w:val="0074578D"/>
    <w:rsid w:val="007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6</cp:revision>
  <dcterms:created xsi:type="dcterms:W3CDTF">2024-05-28T05:17:00Z</dcterms:created>
  <dcterms:modified xsi:type="dcterms:W3CDTF">2024-05-28T05:25:00Z</dcterms:modified>
</cp:coreProperties>
</file>